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0664" w:rsidRPr="00F636EE" w:rsidRDefault="00B50664" w:rsidP="00C01C49">
      <w:pPr>
        <w:jc w:val="center"/>
        <w:rPr>
          <w:rFonts w:cs="Calibri"/>
          <w:b/>
        </w:rPr>
      </w:pPr>
      <w:r w:rsidRPr="00F636EE">
        <w:rPr>
          <w:rFonts w:cs="Calibri"/>
          <w:b/>
        </w:rPr>
        <w:t xml:space="preserve">Comments of the Natural Resources Defense Council (NRDC) on </w:t>
      </w:r>
      <w:r w:rsidR="0004536A">
        <w:rPr>
          <w:rFonts w:cs="Calibri"/>
          <w:b/>
        </w:rPr>
        <w:t xml:space="preserve">Questions Following the </w:t>
      </w:r>
      <w:r w:rsidR="0004536A" w:rsidRPr="0004536A">
        <w:rPr>
          <w:rFonts w:cs="Calibri"/>
          <w:b/>
        </w:rPr>
        <w:t xml:space="preserve">October 30 and 31 Energy Division workshop: "Approaches for Assessing Energy Efficiency Potential &amp; Goals." </w:t>
      </w:r>
    </w:p>
    <w:p w:rsidR="00B50664" w:rsidRPr="008F43C6" w:rsidRDefault="0004536A" w:rsidP="002F2CA1">
      <w:pPr>
        <w:spacing w:after="0"/>
        <w:jc w:val="center"/>
        <w:rPr>
          <w:rFonts w:cs="Calibri"/>
        </w:rPr>
      </w:pPr>
      <w:r>
        <w:rPr>
          <w:rFonts w:cs="Calibri"/>
        </w:rPr>
        <w:t>December</w:t>
      </w:r>
      <w:r w:rsidR="00D556E9">
        <w:rPr>
          <w:rFonts w:cs="Calibri"/>
        </w:rPr>
        <w:t xml:space="preserve"> </w:t>
      </w:r>
      <w:r w:rsidR="00AB18CA">
        <w:rPr>
          <w:rFonts w:cs="Calibri"/>
        </w:rPr>
        <w:t>1</w:t>
      </w:r>
      <w:r>
        <w:rPr>
          <w:rFonts w:cs="Calibri"/>
        </w:rPr>
        <w:t>0</w:t>
      </w:r>
      <w:r w:rsidR="00AB18CA" w:rsidRPr="00AB18CA">
        <w:rPr>
          <w:rFonts w:cs="Calibri"/>
          <w:vertAlign w:val="superscript"/>
        </w:rPr>
        <w:t>t</w:t>
      </w:r>
      <w:r w:rsidR="00A65654">
        <w:rPr>
          <w:rFonts w:cs="Calibri"/>
          <w:vertAlign w:val="superscript"/>
        </w:rPr>
        <w:t>h</w:t>
      </w:r>
      <w:r w:rsidR="00D556E9">
        <w:rPr>
          <w:rFonts w:cs="Calibri"/>
        </w:rPr>
        <w:t>, 201</w:t>
      </w:r>
      <w:r w:rsidR="00A65654">
        <w:rPr>
          <w:rFonts w:cs="Calibri"/>
        </w:rPr>
        <w:t>9</w:t>
      </w:r>
    </w:p>
    <w:p w:rsidR="00B50664" w:rsidRPr="008F43C6" w:rsidRDefault="00B50664" w:rsidP="002F2CA1">
      <w:pPr>
        <w:pBdr>
          <w:bottom w:val="single" w:sz="4" w:space="1" w:color="auto"/>
        </w:pBdr>
        <w:spacing w:after="0"/>
        <w:jc w:val="center"/>
        <w:rPr>
          <w:rFonts w:cs="Calibri"/>
        </w:rPr>
      </w:pPr>
      <w:r w:rsidRPr="008F43C6">
        <w:rPr>
          <w:rFonts w:cs="Calibri"/>
        </w:rPr>
        <w:t xml:space="preserve">Submitted by: </w:t>
      </w:r>
      <w:r w:rsidR="00D556E9">
        <w:rPr>
          <w:rFonts w:cs="Calibri"/>
        </w:rPr>
        <w:t>Mohit Chhabra, Natural Resources Defense Council</w:t>
      </w:r>
    </w:p>
    <w:p w:rsidR="00B50664" w:rsidRPr="008F43C6" w:rsidRDefault="00D556E9" w:rsidP="002F2CA1">
      <w:pPr>
        <w:pBdr>
          <w:bottom w:val="single" w:sz="4" w:space="1" w:color="auto"/>
        </w:pBdr>
        <w:spacing w:after="0"/>
        <w:jc w:val="center"/>
        <w:rPr>
          <w:rFonts w:cs="Calibri"/>
        </w:rPr>
      </w:pPr>
      <w:r>
        <w:rPr>
          <w:rFonts w:cs="Calibri"/>
        </w:rPr>
        <w:t>mchhabra</w:t>
      </w:r>
      <w:r w:rsidR="00B50664" w:rsidRPr="008F43C6">
        <w:rPr>
          <w:rFonts w:cs="Calibri"/>
        </w:rPr>
        <w:t>@nrdc.org</w:t>
      </w:r>
    </w:p>
    <w:p w:rsidR="00933E18" w:rsidRPr="00933E18" w:rsidRDefault="00933E18" w:rsidP="00933E18">
      <w:pPr>
        <w:autoSpaceDE w:val="0"/>
        <w:autoSpaceDN w:val="0"/>
        <w:adjustRightInd w:val="0"/>
        <w:spacing w:before="120" w:after="0" w:line="240" w:lineRule="auto"/>
        <w:ind w:left="-360"/>
        <w:rPr>
          <w:rFonts w:cs="Calibri"/>
          <w:sz w:val="12"/>
          <w:szCs w:val="12"/>
        </w:rPr>
      </w:pPr>
    </w:p>
    <w:p w:rsidR="00796CAA" w:rsidRDefault="00D12CB0" w:rsidP="002771C2">
      <w:pPr>
        <w:autoSpaceDE w:val="0"/>
        <w:autoSpaceDN w:val="0"/>
        <w:adjustRightInd w:val="0"/>
        <w:spacing w:before="120" w:after="0" w:line="240" w:lineRule="auto"/>
        <w:rPr>
          <w:rFonts w:cs="Calibri"/>
        </w:rPr>
      </w:pPr>
      <w:r w:rsidRPr="00D12CB0">
        <w:rPr>
          <w:rFonts w:cs="Calibri"/>
        </w:rPr>
        <w:t>The Natural Resources Defens</w:t>
      </w:r>
      <w:r w:rsidR="00310685">
        <w:rPr>
          <w:rFonts w:cs="Calibri"/>
        </w:rPr>
        <w:t>e Council (NRDC) appreciates th</w:t>
      </w:r>
      <w:r w:rsidR="00B04488">
        <w:rPr>
          <w:rFonts w:cs="Calibri"/>
        </w:rPr>
        <w:t>e</w:t>
      </w:r>
      <w:r w:rsidRPr="00D12CB0">
        <w:rPr>
          <w:rFonts w:cs="Calibri"/>
        </w:rPr>
        <w:t xml:space="preserve"> opportunity to offer these comments on the California Public Utilities Commission’s (</w:t>
      </w:r>
      <w:r w:rsidRPr="00AB2EDD">
        <w:rPr>
          <w:rFonts w:cs="Calibri"/>
        </w:rPr>
        <w:t xml:space="preserve">CPUC) energy efficiency goals, potential, and targets </w:t>
      </w:r>
      <w:r w:rsidR="00522C29">
        <w:rPr>
          <w:rFonts w:cs="Calibri"/>
        </w:rPr>
        <w:t xml:space="preserve">workplan </w:t>
      </w:r>
      <w:r w:rsidRPr="00AB2EDD">
        <w:rPr>
          <w:rFonts w:cs="Calibri"/>
        </w:rPr>
        <w:t>prepared by Navigant. NRDC is a non-profit membership organization with a long-standing interest in</w:t>
      </w:r>
      <w:r w:rsidRPr="00D12CB0">
        <w:rPr>
          <w:rFonts w:cs="Calibri"/>
        </w:rPr>
        <w:t xml:space="preserve"> minimizing the societal costs </w:t>
      </w:r>
      <w:r w:rsidR="00522C29">
        <w:rPr>
          <w:rFonts w:cs="Calibri"/>
        </w:rPr>
        <w:t xml:space="preserve">and impacts </w:t>
      </w:r>
      <w:r w:rsidRPr="00D12CB0">
        <w:rPr>
          <w:rFonts w:cs="Calibri"/>
        </w:rPr>
        <w:t xml:space="preserve">of the reliable energy services that Californians demand. We focus on representing our approximately </w:t>
      </w:r>
      <w:r w:rsidR="0053216C">
        <w:rPr>
          <w:rFonts w:cs="Calibri"/>
        </w:rPr>
        <w:t>9</w:t>
      </w:r>
      <w:r w:rsidRPr="00D12CB0">
        <w:rPr>
          <w:rFonts w:cs="Calibri"/>
        </w:rPr>
        <w:t>0,000 California members’ interest in receiving affordable energy services and reducing the environmental impact of California’s energy consumption.</w:t>
      </w:r>
    </w:p>
    <w:p w:rsidR="002771C2" w:rsidRPr="002771C2" w:rsidRDefault="002771C2" w:rsidP="002771C2">
      <w:pPr>
        <w:autoSpaceDE w:val="0"/>
        <w:autoSpaceDN w:val="0"/>
        <w:adjustRightInd w:val="0"/>
        <w:spacing w:before="120" w:after="0" w:line="240" w:lineRule="auto"/>
        <w:rPr>
          <w:rFonts w:cs="Calibri"/>
        </w:rPr>
      </w:pPr>
    </w:p>
    <w:p w:rsidR="00061BE8" w:rsidRDefault="00061BE8" w:rsidP="00D12CB0">
      <w:pPr>
        <w:autoSpaceDE w:val="0"/>
        <w:autoSpaceDN w:val="0"/>
        <w:adjustRightInd w:val="0"/>
        <w:spacing w:before="120" w:after="120"/>
        <w:rPr>
          <w:rFonts w:cs="Calibri"/>
          <w:b/>
        </w:rPr>
      </w:pPr>
      <w:r>
        <w:rPr>
          <w:rFonts w:cs="Calibri"/>
          <w:b/>
        </w:rPr>
        <w:t xml:space="preserve">Answers to select </w:t>
      </w:r>
      <w:r w:rsidR="002771C2">
        <w:rPr>
          <w:rFonts w:cs="Calibri"/>
          <w:b/>
        </w:rPr>
        <w:t xml:space="preserve">Commission </w:t>
      </w:r>
      <w:r>
        <w:rPr>
          <w:rFonts w:cs="Calibri"/>
          <w:b/>
        </w:rPr>
        <w:t>questions:</w:t>
      </w:r>
    </w:p>
    <w:p w:rsidR="0004536A" w:rsidRPr="0004536A" w:rsidRDefault="0004536A" w:rsidP="0004536A">
      <w:pPr>
        <w:autoSpaceDE w:val="0"/>
        <w:autoSpaceDN w:val="0"/>
        <w:adjustRightInd w:val="0"/>
        <w:spacing w:before="120" w:after="120"/>
        <w:rPr>
          <w:rFonts w:cs="Calibri"/>
        </w:rPr>
      </w:pPr>
      <w:r>
        <w:rPr>
          <w:rFonts w:cs="Calibri"/>
        </w:rPr>
        <w:t>Q</w:t>
      </w:r>
      <w:r w:rsidRPr="0004536A">
        <w:rPr>
          <w:rFonts w:cs="Calibri"/>
        </w:rPr>
        <w:t>1.</w:t>
      </w:r>
      <w:r>
        <w:rPr>
          <w:rFonts w:cs="Calibri"/>
        </w:rPr>
        <w:t xml:space="preserve"> </w:t>
      </w:r>
      <w:r w:rsidRPr="0004536A">
        <w:rPr>
          <w:rFonts w:cs="Calibri"/>
          <w:i/>
        </w:rPr>
        <w:t>What should be the primary objectives of the Potential and Goals study?</w:t>
      </w:r>
    </w:p>
    <w:p w:rsidR="00256138" w:rsidRDefault="00256138" w:rsidP="0004536A">
      <w:pPr>
        <w:autoSpaceDE w:val="0"/>
        <w:autoSpaceDN w:val="0"/>
        <w:adjustRightInd w:val="0"/>
        <w:spacing w:before="120" w:after="120"/>
        <w:rPr>
          <w:rFonts w:cs="Calibri"/>
        </w:rPr>
      </w:pPr>
      <w:r>
        <w:rPr>
          <w:rFonts w:cs="Calibri"/>
        </w:rPr>
        <w:t xml:space="preserve">The primary objectives of the </w:t>
      </w:r>
      <w:r w:rsidR="00061BE8">
        <w:rPr>
          <w:rFonts w:cs="Calibri"/>
        </w:rPr>
        <w:t xml:space="preserve">Potential </w:t>
      </w:r>
      <w:r>
        <w:rPr>
          <w:rFonts w:cs="Calibri"/>
        </w:rPr>
        <w:t xml:space="preserve">and Goals study should be two-fold: </w:t>
      </w:r>
    </w:p>
    <w:p w:rsidR="00256138" w:rsidRDefault="00256138" w:rsidP="00256138">
      <w:pPr>
        <w:pStyle w:val="ListParagraph"/>
        <w:numPr>
          <w:ilvl w:val="0"/>
          <w:numId w:val="7"/>
        </w:numPr>
        <w:autoSpaceDE w:val="0"/>
        <w:autoSpaceDN w:val="0"/>
        <w:adjustRightInd w:val="0"/>
        <w:spacing w:before="120" w:after="120"/>
        <w:rPr>
          <w:rFonts w:cs="Calibri"/>
        </w:rPr>
      </w:pPr>
      <w:r>
        <w:rPr>
          <w:rFonts w:cs="Calibri"/>
        </w:rPr>
        <w:t xml:space="preserve">Develop all inputs required by the Integrated Resources Planning (IRP) process to integrate resource energy efficiency programs </w:t>
      </w:r>
      <w:r w:rsidR="00873F19">
        <w:rPr>
          <w:rFonts w:cs="Calibri"/>
        </w:rPr>
        <w:t xml:space="preserve">into </w:t>
      </w:r>
      <w:r w:rsidR="002771C2">
        <w:rPr>
          <w:rFonts w:cs="Calibri"/>
        </w:rPr>
        <w:t>the Commission’s</w:t>
      </w:r>
      <w:r w:rsidR="00873F19">
        <w:rPr>
          <w:rFonts w:cs="Calibri"/>
        </w:rPr>
        <w:t xml:space="preserve"> </w:t>
      </w:r>
      <w:r w:rsidR="002771C2">
        <w:rPr>
          <w:rFonts w:cs="Calibri"/>
        </w:rPr>
        <w:t xml:space="preserve">electric </w:t>
      </w:r>
      <w:r w:rsidR="00873F19">
        <w:rPr>
          <w:rFonts w:cs="Calibri"/>
        </w:rPr>
        <w:t>system wide analysis to determine the right mix of energy efficiency</w:t>
      </w:r>
      <w:r w:rsidR="002771C2">
        <w:rPr>
          <w:rFonts w:cs="Calibri"/>
        </w:rPr>
        <w:t xml:space="preserve"> required to meet our future energy needs and climate goals in a least-cost best-fit manner</w:t>
      </w:r>
      <w:r w:rsidR="00873F19">
        <w:rPr>
          <w:rFonts w:cs="Calibri"/>
        </w:rPr>
        <w:t>.</w:t>
      </w:r>
    </w:p>
    <w:p w:rsidR="00B04488" w:rsidRPr="00873F19" w:rsidRDefault="00873F19" w:rsidP="0004536A">
      <w:pPr>
        <w:pStyle w:val="ListParagraph"/>
        <w:numPr>
          <w:ilvl w:val="0"/>
          <w:numId w:val="7"/>
        </w:numPr>
        <w:autoSpaceDE w:val="0"/>
        <w:autoSpaceDN w:val="0"/>
        <w:adjustRightInd w:val="0"/>
        <w:spacing w:before="120" w:after="120"/>
        <w:rPr>
          <w:rFonts w:cs="Calibri"/>
        </w:rPr>
      </w:pPr>
      <w:r>
        <w:rPr>
          <w:rFonts w:cs="Calibri"/>
        </w:rPr>
        <w:t>In addition to the above, the study should continue to also develop technical potential estimates, and energy efficiency supply curves (</w:t>
      </w:r>
      <w:r w:rsidR="002771C2">
        <w:rPr>
          <w:rFonts w:cs="Calibri"/>
        </w:rPr>
        <w:t xml:space="preserve">i.e., </w:t>
      </w:r>
      <w:r>
        <w:rPr>
          <w:rFonts w:cs="Calibri"/>
        </w:rPr>
        <w:t>the cost to implement each marginal savings measure) for the low-income sector in California. Th</w:t>
      </w:r>
      <w:r w:rsidR="002771C2">
        <w:rPr>
          <w:rFonts w:cs="Calibri"/>
        </w:rPr>
        <w:t xml:space="preserve">ese data </w:t>
      </w:r>
      <w:r>
        <w:rPr>
          <w:rFonts w:cs="Calibri"/>
        </w:rPr>
        <w:t xml:space="preserve">will enable low-income </w:t>
      </w:r>
      <w:r w:rsidR="002771C2">
        <w:rPr>
          <w:rFonts w:cs="Calibri"/>
        </w:rPr>
        <w:t xml:space="preserve">sector </w:t>
      </w:r>
      <w:r>
        <w:rPr>
          <w:rFonts w:cs="Calibri"/>
        </w:rPr>
        <w:t>specific processes to develop robust goals.</w:t>
      </w:r>
    </w:p>
    <w:p w:rsidR="00B04488" w:rsidRDefault="00B04488" w:rsidP="0004536A">
      <w:pPr>
        <w:autoSpaceDE w:val="0"/>
        <w:autoSpaceDN w:val="0"/>
        <w:adjustRightInd w:val="0"/>
        <w:spacing w:before="120" w:after="120"/>
        <w:rPr>
          <w:rFonts w:cs="Calibri"/>
        </w:rPr>
      </w:pPr>
    </w:p>
    <w:p w:rsidR="0004536A" w:rsidRPr="00B04488" w:rsidRDefault="0004536A" w:rsidP="0004536A">
      <w:pPr>
        <w:autoSpaceDE w:val="0"/>
        <w:autoSpaceDN w:val="0"/>
        <w:adjustRightInd w:val="0"/>
        <w:spacing w:before="120" w:after="120"/>
        <w:rPr>
          <w:rFonts w:cs="Calibri"/>
          <w:i/>
        </w:rPr>
      </w:pPr>
      <w:r w:rsidRPr="00B04488">
        <w:rPr>
          <w:rFonts w:cs="Calibri"/>
          <w:i/>
        </w:rPr>
        <w:t>Q3. Overall Methodology:</w:t>
      </w:r>
    </w:p>
    <w:p w:rsidR="0004536A" w:rsidRPr="00B04488" w:rsidRDefault="00B04488" w:rsidP="00B04488">
      <w:pPr>
        <w:autoSpaceDE w:val="0"/>
        <w:autoSpaceDN w:val="0"/>
        <w:adjustRightInd w:val="0"/>
        <w:spacing w:before="120" w:after="120"/>
        <w:ind w:left="360"/>
        <w:rPr>
          <w:rFonts w:cs="Calibri"/>
        </w:rPr>
      </w:pPr>
      <w:r>
        <w:rPr>
          <w:rFonts w:cs="Calibri"/>
          <w:i/>
        </w:rPr>
        <w:t xml:space="preserve">Q3a. </w:t>
      </w:r>
      <w:r w:rsidR="0004536A" w:rsidRPr="00B04488">
        <w:rPr>
          <w:rFonts w:cs="Calibri"/>
          <w:i/>
        </w:rPr>
        <w:t>What are the opportunities and challenges of a “top down” assessment of energy efficiency in comparison to the current “bottom up” widget-based approach? Please provide evidence to support your answer</w:t>
      </w:r>
      <w:r w:rsidR="0004536A" w:rsidRPr="00B04488">
        <w:rPr>
          <w:rFonts w:cs="Calibri"/>
        </w:rPr>
        <w:t>.</w:t>
      </w:r>
    </w:p>
    <w:p w:rsidR="00B04488" w:rsidRDefault="00B04488" w:rsidP="00B04488">
      <w:pPr>
        <w:autoSpaceDE w:val="0"/>
        <w:autoSpaceDN w:val="0"/>
        <w:adjustRightInd w:val="0"/>
        <w:spacing w:before="120" w:after="120"/>
        <w:rPr>
          <w:rFonts w:cs="Calibri"/>
        </w:rPr>
      </w:pPr>
      <w:r>
        <w:rPr>
          <w:rFonts w:cs="Calibri"/>
        </w:rPr>
        <w:t>A top</w:t>
      </w:r>
      <w:r w:rsidR="00DD6128">
        <w:rPr>
          <w:rFonts w:cs="Calibri"/>
        </w:rPr>
        <w:t>-</w:t>
      </w:r>
      <w:r>
        <w:rPr>
          <w:rFonts w:cs="Calibri"/>
        </w:rPr>
        <w:t>down methodology</w:t>
      </w:r>
      <w:r w:rsidR="00DD6128">
        <w:rPr>
          <w:rStyle w:val="FootnoteReference"/>
        </w:rPr>
        <w:footnoteReference w:id="1"/>
      </w:r>
      <w:r>
        <w:rPr>
          <w:rFonts w:cs="Calibri"/>
        </w:rPr>
        <w:t xml:space="preserve">, if structured correctly, could help </w:t>
      </w:r>
      <w:r w:rsidR="00DD6128">
        <w:rPr>
          <w:rFonts w:cs="Calibri"/>
        </w:rPr>
        <w:t xml:space="preserve">the Commission better </w:t>
      </w:r>
      <w:r>
        <w:rPr>
          <w:rFonts w:cs="Calibri"/>
        </w:rPr>
        <w:t xml:space="preserve">understand the </w:t>
      </w:r>
      <w:r w:rsidR="00DD6128">
        <w:rPr>
          <w:rFonts w:cs="Calibri"/>
        </w:rPr>
        <w:t xml:space="preserve">aggregate </w:t>
      </w:r>
      <w:r>
        <w:rPr>
          <w:rFonts w:cs="Calibri"/>
        </w:rPr>
        <w:t xml:space="preserve">energy savings </w:t>
      </w:r>
      <w:r w:rsidR="00DD6128">
        <w:rPr>
          <w:rFonts w:cs="Calibri"/>
        </w:rPr>
        <w:t>feasible in a given building type in two ways</w:t>
      </w:r>
      <w:r>
        <w:rPr>
          <w:rFonts w:cs="Calibri"/>
        </w:rPr>
        <w:t>.</w:t>
      </w:r>
      <w:r w:rsidR="00DD6128">
        <w:rPr>
          <w:rFonts w:cs="Calibri"/>
        </w:rPr>
        <w:t xml:space="preserve"> First,</w:t>
      </w:r>
      <w:r>
        <w:rPr>
          <w:rFonts w:cs="Calibri"/>
        </w:rPr>
        <w:t xml:space="preserve"> </w:t>
      </w:r>
      <w:r w:rsidR="00DD6128">
        <w:rPr>
          <w:rFonts w:cs="Calibri"/>
        </w:rPr>
        <w:t>a</w:t>
      </w:r>
      <w:r>
        <w:rPr>
          <w:rFonts w:cs="Calibri"/>
        </w:rPr>
        <w:t xml:space="preserve">s measures interact with each other, the sum of the savings of individual measures do not equal the total measure savings of a multi-measure project. </w:t>
      </w:r>
      <w:r w:rsidR="00DD6128">
        <w:rPr>
          <w:rFonts w:cs="Calibri"/>
        </w:rPr>
        <w:t xml:space="preserve">A top-down methodology would provide a better estimate of these aggregate savings. Secondly, the top-down methodology will help the Commission understand the completeness of the </w:t>
      </w:r>
      <w:r w:rsidR="00DD6128">
        <w:rPr>
          <w:rFonts w:cs="Calibri"/>
        </w:rPr>
        <w:lastRenderedPageBreak/>
        <w:t xml:space="preserve">measure-set being analyzed. The engineering communities understanding of forecasting measure-interaction of multiple measures is limited. </w:t>
      </w:r>
      <w:r>
        <w:rPr>
          <w:rFonts w:cs="Calibri"/>
        </w:rPr>
        <w:t>Especially when measures implemented include a mix of traditional energy efficiency and behavioral measures.</w:t>
      </w:r>
    </w:p>
    <w:p w:rsidR="00D24EA7" w:rsidRDefault="00D24EA7" w:rsidP="00B04488">
      <w:pPr>
        <w:autoSpaceDE w:val="0"/>
        <w:autoSpaceDN w:val="0"/>
        <w:adjustRightInd w:val="0"/>
        <w:spacing w:before="120" w:after="120"/>
        <w:rPr>
          <w:rFonts w:cs="Calibri"/>
        </w:rPr>
      </w:pPr>
      <w:r>
        <w:rPr>
          <w:rFonts w:cs="Calibri"/>
        </w:rPr>
        <w:t>The</w:t>
      </w:r>
      <w:r w:rsidR="00DD6128">
        <w:rPr>
          <w:rFonts w:cs="Calibri"/>
        </w:rPr>
        <w:t xml:space="preserve">re are </w:t>
      </w:r>
      <w:r w:rsidR="00655744">
        <w:rPr>
          <w:rFonts w:cs="Calibri"/>
        </w:rPr>
        <w:t>three</w:t>
      </w:r>
      <w:r w:rsidR="00DD6128">
        <w:rPr>
          <w:rFonts w:cs="Calibri"/>
        </w:rPr>
        <w:t xml:space="preserve"> main</w:t>
      </w:r>
      <w:r>
        <w:rPr>
          <w:rFonts w:cs="Calibri"/>
        </w:rPr>
        <w:t xml:space="preserve"> challenges </w:t>
      </w:r>
      <w:r w:rsidR="00DD6128">
        <w:rPr>
          <w:rFonts w:cs="Calibri"/>
        </w:rPr>
        <w:t>in</w:t>
      </w:r>
      <w:r>
        <w:rPr>
          <w:rFonts w:cs="Calibri"/>
        </w:rPr>
        <w:t xml:space="preserve"> implementing this strategy. First</w:t>
      </w:r>
      <w:r w:rsidR="00DD6128">
        <w:rPr>
          <w:rFonts w:cs="Calibri"/>
        </w:rPr>
        <w:t>ly</w:t>
      </w:r>
      <w:r>
        <w:rPr>
          <w:rFonts w:cs="Calibri"/>
        </w:rPr>
        <w:t xml:space="preserve">, to implement a top-down potential development strategy analysts need </w:t>
      </w:r>
      <w:r w:rsidR="00DD6128">
        <w:rPr>
          <w:rFonts w:cs="Calibri"/>
        </w:rPr>
        <w:t xml:space="preserve">robust and complete </w:t>
      </w:r>
      <w:r>
        <w:rPr>
          <w:rFonts w:cs="Calibri"/>
        </w:rPr>
        <w:t xml:space="preserve">data on energy use of buildings. These data need to be available for each building type to be able to determine the total </w:t>
      </w:r>
      <w:r w:rsidR="00DD6128">
        <w:rPr>
          <w:rFonts w:cs="Calibri"/>
        </w:rPr>
        <w:t xml:space="preserve">top-down savings </w:t>
      </w:r>
      <w:r>
        <w:rPr>
          <w:rFonts w:cs="Calibri"/>
        </w:rPr>
        <w:t xml:space="preserve">potential for each building type. Analysts may </w:t>
      </w:r>
      <w:r w:rsidR="00DD6128">
        <w:rPr>
          <w:rFonts w:cs="Calibri"/>
        </w:rPr>
        <w:t xml:space="preserve">also </w:t>
      </w:r>
      <w:r>
        <w:rPr>
          <w:rFonts w:cs="Calibri"/>
        </w:rPr>
        <w:t xml:space="preserve">want data at a </w:t>
      </w:r>
      <w:r w:rsidR="00DD6128">
        <w:rPr>
          <w:rFonts w:cs="Calibri"/>
        </w:rPr>
        <w:t>level of</w:t>
      </w:r>
      <w:r>
        <w:rPr>
          <w:rFonts w:cs="Calibri"/>
        </w:rPr>
        <w:t xml:space="preserve"> detail </w:t>
      </w:r>
      <w:r w:rsidR="00DD6128">
        <w:rPr>
          <w:rFonts w:cs="Calibri"/>
        </w:rPr>
        <w:t xml:space="preserve">that accounts for </w:t>
      </w:r>
      <w:r w:rsidR="00655744">
        <w:rPr>
          <w:rFonts w:cs="Calibri"/>
        </w:rPr>
        <w:t>differences in climate for each building’s location. Finally, analysts need to have enough data to determine savings load-shapes as well as annual energy savings to be able to integrate the potential study with the IRP analysis.</w:t>
      </w:r>
    </w:p>
    <w:p w:rsidR="00B04488" w:rsidRDefault="00D24EA7" w:rsidP="00B04488">
      <w:pPr>
        <w:autoSpaceDE w:val="0"/>
        <w:autoSpaceDN w:val="0"/>
        <w:adjustRightInd w:val="0"/>
        <w:spacing w:before="120" w:after="120"/>
        <w:rPr>
          <w:rFonts w:cs="Calibri"/>
        </w:rPr>
      </w:pPr>
      <w:r>
        <w:rPr>
          <w:rFonts w:cs="Calibri"/>
        </w:rPr>
        <w:t xml:space="preserve">The second challenge is estimating </w:t>
      </w:r>
      <w:r w:rsidR="00655744">
        <w:rPr>
          <w:rFonts w:cs="Calibri"/>
        </w:rPr>
        <w:t xml:space="preserve">the </w:t>
      </w:r>
      <w:r>
        <w:rPr>
          <w:rFonts w:cs="Calibri"/>
        </w:rPr>
        <w:t xml:space="preserve">cost of achieving savings. A top-down method aims to estimate total </w:t>
      </w:r>
      <w:r w:rsidR="00655744">
        <w:rPr>
          <w:rFonts w:cs="Calibri"/>
        </w:rPr>
        <w:t xml:space="preserve">a total </w:t>
      </w:r>
      <w:r>
        <w:rPr>
          <w:rFonts w:cs="Calibri"/>
        </w:rPr>
        <w:t xml:space="preserve">energy savings potential </w:t>
      </w:r>
      <w:r w:rsidR="00655744">
        <w:rPr>
          <w:rFonts w:cs="Calibri"/>
        </w:rPr>
        <w:t xml:space="preserve">for a cohort of buildings </w:t>
      </w:r>
      <w:r>
        <w:rPr>
          <w:rFonts w:cs="Calibri"/>
        </w:rPr>
        <w:t xml:space="preserve">independent of the measures that would make up this </w:t>
      </w:r>
      <w:r w:rsidR="00655744">
        <w:rPr>
          <w:rFonts w:cs="Calibri"/>
        </w:rPr>
        <w:t>savings</w:t>
      </w:r>
      <w:r>
        <w:rPr>
          <w:rFonts w:cs="Calibri"/>
        </w:rPr>
        <w:t xml:space="preserve"> potential. Analysts need to identify the costs</w:t>
      </w:r>
      <w:r w:rsidR="00655744">
        <w:rPr>
          <w:rFonts w:cs="Calibri"/>
        </w:rPr>
        <w:t xml:space="preserve"> associated with these energy </w:t>
      </w:r>
      <w:r>
        <w:rPr>
          <w:rFonts w:cs="Calibri"/>
        </w:rPr>
        <w:t xml:space="preserve">savings to determine cost-effectiveness </w:t>
      </w:r>
      <w:r w:rsidR="00655744">
        <w:rPr>
          <w:rFonts w:cs="Calibri"/>
        </w:rPr>
        <w:t xml:space="preserve">of achieving said savings. </w:t>
      </w:r>
    </w:p>
    <w:p w:rsidR="00655744" w:rsidRDefault="00655744" w:rsidP="00B04488">
      <w:pPr>
        <w:autoSpaceDE w:val="0"/>
        <w:autoSpaceDN w:val="0"/>
        <w:adjustRightInd w:val="0"/>
        <w:spacing w:before="120" w:after="120"/>
        <w:rPr>
          <w:rFonts w:cs="Calibri"/>
        </w:rPr>
      </w:pPr>
      <w:r>
        <w:rPr>
          <w:rFonts w:cs="Calibri"/>
        </w:rPr>
        <w:t>The third challenge is understanding what this top-down energy savings estimate represents. In the absence of detailed knowledge on the characteristics of the buildings being analyzed whether this savings estimate represents total technical savings potential, or an estimate of savings potential economically feasible from a customer’s point of view, or something else.</w:t>
      </w:r>
    </w:p>
    <w:p w:rsidR="00D24EA7" w:rsidRPr="00B04488" w:rsidRDefault="00D24EA7" w:rsidP="00B04488">
      <w:pPr>
        <w:autoSpaceDE w:val="0"/>
        <w:autoSpaceDN w:val="0"/>
        <w:adjustRightInd w:val="0"/>
        <w:spacing w:before="120" w:after="120"/>
        <w:rPr>
          <w:rFonts w:cs="Calibri"/>
        </w:rPr>
      </w:pPr>
    </w:p>
    <w:p w:rsidR="0004536A" w:rsidRPr="00D24EA7" w:rsidRDefault="00D24EA7" w:rsidP="00D24EA7">
      <w:pPr>
        <w:autoSpaceDE w:val="0"/>
        <w:autoSpaceDN w:val="0"/>
        <w:adjustRightInd w:val="0"/>
        <w:spacing w:before="120" w:after="120"/>
        <w:ind w:left="720"/>
        <w:rPr>
          <w:rFonts w:cs="Calibri"/>
          <w:i/>
        </w:rPr>
      </w:pPr>
      <w:r w:rsidRPr="00D24EA7">
        <w:rPr>
          <w:rFonts w:cs="Calibri"/>
          <w:i/>
        </w:rPr>
        <w:t>Q3</w:t>
      </w:r>
      <w:r w:rsidR="0004536A" w:rsidRPr="00D24EA7">
        <w:rPr>
          <w:rFonts w:cs="Calibri"/>
          <w:i/>
        </w:rPr>
        <w:t>b. If staff were to consider using “top down” methods to assess energy efficiency savings potential, how could the study transition? Please identify areas/topics that could be incorporated in the 2021 study and areas/topics that may need further study and data collection.</w:t>
      </w:r>
    </w:p>
    <w:p w:rsidR="00D24EA7" w:rsidRDefault="007232F1" w:rsidP="0004536A">
      <w:pPr>
        <w:autoSpaceDE w:val="0"/>
        <w:autoSpaceDN w:val="0"/>
        <w:adjustRightInd w:val="0"/>
        <w:spacing w:before="120" w:after="120"/>
        <w:rPr>
          <w:rFonts w:cs="Calibri"/>
        </w:rPr>
      </w:pPr>
      <w:r>
        <w:rPr>
          <w:rFonts w:cs="Calibri"/>
        </w:rPr>
        <w:t xml:space="preserve">NRDC recommends </w:t>
      </w:r>
      <w:r w:rsidR="00655744">
        <w:rPr>
          <w:rFonts w:cs="Calibri"/>
        </w:rPr>
        <w:t xml:space="preserve">if </w:t>
      </w:r>
      <w:r>
        <w:rPr>
          <w:rFonts w:cs="Calibri"/>
        </w:rPr>
        <w:t>staff apply a top-down analysis</w:t>
      </w:r>
      <w:r w:rsidR="00655744">
        <w:rPr>
          <w:rFonts w:cs="Calibri"/>
        </w:rPr>
        <w:t>, they apply the analysis</w:t>
      </w:r>
      <w:r>
        <w:rPr>
          <w:rFonts w:cs="Calibri"/>
        </w:rPr>
        <w:t xml:space="preserve"> to</w:t>
      </w:r>
      <w:r w:rsidR="00655744">
        <w:rPr>
          <w:rFonts w:cs="Calibri"/>
        </w:rPr>
        <w:t xml:space="preserve"> benchmark and </w:t>
      </w:r>
      <w:r w:rsidR="00FA47A0">
        <w:rPr>
          <w:rFonts w:cs="Calibri"/>
        </w:rPr>
        <w:t>improve the accuracy of the total technical and/or economic potential estimates developed by the model. How staff apply the top-down data is predicated on the characteristics of the top-down data available for this comparison.</w:t>
      </w:r>
    </w:p>
    <w:p w:rsidR="0004536A" w:rsidRDefault="0004536A" w:rsidP="0004536A">
      <w:pPr>
        <w:autoSpaceDE w:val="0"/>
        <w:autoSpaceDN w:val="0"/>
        <w:adjustRightInd w:val="0"/>
        <w:spacing w:before="120" w:after="120"/>
        <w:rPr>
          <w:rFonts w:cs="Calibri"/>
        </w:rPr>
      </w:pPr>
    </w:p>
    <w:p w:rsidR="0004536A" w:rsidRPr="0004536A" w:rsidRDefault="0004536A" w:rsidP="0004536A">
      <w:pPr>
        <w:autoSpaceDE w:val="0"/>
        <w:autoSpaceDN w:val="0"/>
        <w:adjustRightInd w:val="0"/>
        <w:spacing w:before="120" w:after="120"/>
        <w:rPr>
          <w:rFonts w:cs="Calibri"/>
        </w:rPr>
      </w:pPr>
      <w:r w:rsidRPr="00FA47A0">
        <w:rPr>
          <w:rFonts w:cs="Calibri"/>
          <w:i/>
        </w:rPr>
        <w:t>Q4. Energy Efficiency – Integrated Resource Planning Incorporation Opportunities</w:t>
      </w:r>
      <w:r w:rsidRPr="0004536A">
        <w:rPr>
          <w:rFonts w:cs="Calibri"/>
        </w:rPr>
        <w:t>:</w:t>
      </w:r>
    </w:p>
    <w:p w:rsidR="0004536A" w:rsidRPr="00FA47A0" w:rsidRDefault="00FA47A0" w:rsidP="00FA47A0">
      <w:pPr>
        <w:autoSpaceDE w:val="0"/>
        <w:autoSpaceDN w:val="0"/>
        <w:adjustRightInd w:val="0"/>
        <w:spacing w:before="120" w:after="120"/>
        <w:ind w:left="720"/>
        <w:rPr>
          <w:rFonts w:cs="Calibri"/>
          <w:i/>
        </w:rPr>
      </w:pPr>
      <w:r w:rsidRPr="00FA47A0">
        <w:rPr>
          <w:rFonts w:cs="Calibri"/>
          <w:i/>
        </w:rPr>
        <w:t>Q4</w:t>
      </w:r>
      <w:r w:rsidR="0004536A" w:rsidRPr="00FA47A0">
        <w:rPr>
          <w:rFonts w:cs="Calibri"/>
          <w:i/>
        </w:rPr>
        <w:t>a. Should staff consider optimization of energy efficiency in the Integrated Resources Planning (IRP) process in the 2021 Potential and Goals study? If yes, how? If not, why not?</w:t>
      </w:r>
    </w:p>
    <w:p w:rsidR="00873F19" w:rsidRDefault="00FA47A0" w:rsidP="0004536A">
      <w:pPr>
        <w:autoSpaceDE w:val="0"/>
        <w:autoSpaceDN w:val="0"/>
        <w:adjustRightInd w:val="0"/>
        <w:spacing w:before="120" w:after="120"/>
        <w:rPr>
          <w:rFonts w:cs="Calibri"/>
        </w:rPr>
      </w:pPr>
      <w:r>
        <w:rPr>
          <w:rFonts w:cs="Calibri"/>
        </w:rPr>
        <w:t>Staff should consider optimizing resource energy efficiency programs in the IRP process in the 2021 Potential and Goals study.</w:t>
      </w:r>
      <w:r w:rsidR="00C70184">
        <w:rPr>
          <w:rFonts w:cs="Calibri"/>
        </w:rPr>
        <w:t xml:space="preserve"> The </w:t>
      </w:r>
      <w:r w:rsidR="00C70184" w:rsidRPr="00C70184">
        <w:rPr>
          <w:rFonts w:cs="Calibri"/>
        </w:rPr>
        <w:t>Staff Proposal for Incorporating Energy Efficiency into the SB 350 Integrated Resource Planning Process</w:t>
      </w:r>
      <w:r w:rsidR="00A07BF0">
        <w:rPr>
          <w:rFonts w:cs="Calibri"/>
        </w:rPr>
        <w:t xml:space="preserve"> clearly outlines </w:t>
      </w:r>
      <w:r w:rsidR="00C70184">
        <w:rPr>
          <w:rFonts w:cs="Calibri"/>
        </w:rPr>
        <w:t>a</w:t>
      </w:r>
      <w:r w:rsidR="00A07BF0">
        <w:rPr>
          <w:rFonts w:cs="Calibri"/>
        </w:rPr>
        <w:t xml:space="preserve"> </w:t>
      </w:r>
      <w:r w:rsidR="00C70184">
        <w:rPr>
          <w:rFonts w:cs="Calibri"/>
        </w:rPr>
        <w:t xml:space="preserve">clear </w:t>
      </w:r>
      <w:r w:rsidR="00A07BF0">
        <w:rPr>
          <w:rFonts w:cs="Calibri"/>
        </w:rPr>
        <w:t xml:space="preserve">path to </w:t>
      </w:r>
      <w:r w:rsidR="00061BE8">
        <w:rPr>
          <w:rFonts w:cs="Calibri"/>
        </w:rPr>
        <w:t>accomplish this.</w:t>
      </w:r>
    </w:p>
    <w:p w:rsidR="00C70184" w:rsidRDefault="00C70184" w:rsidP="00061BE8">
      <w:pPr>
        <w:autoSpaceDE w:val="0"/>
        <w:autoSpaceDN w:val="0"/>
        <w:adjustRightInd w:val="0"/>
        <w:spacing w:before="120" w:after="120"/>
        <w:ind w:left="720"/>
        <w:rPr>
          <w:rFonts w:cs="Calibri"/>
          <w:i/>
        </w:rPr>
      </w:pPr>
    </w:p>
    <w:p w:rsidR="0004536A" w:rsidRPr="00061BE8" w:rsidRDefault="00061BE8" w:rsidP="00061BE8">
      <w:pPr>
        <w:autoSpaceDE w:val="0"/>
        <w:autoSpaceDN w:val="0"/>
        <w:adjustRightInd w:val="0"/>
        <w:spacing w:before="120" w:after="120"/>
        <w:ind w:left="720"/>
        <w:rPr>
          <w:rFonts w:cs="Calibri"/>
          <w:i/>
        </w:rPr>
      </w:pPr>
      <w:r w:rsidRPr="00061BE8">
        <w:rPr>
          <w:rFonts w:cs="Calibri"/>
          <w:i/>
        </w:rPr>
        <w:t>Q4</w:t>
      </w:r>
      <w:r w:rsidR="0004536A" w:rsidRPr="00061BE8">
        <w:rPr>
          <w:rFonts w:cs="Calibri"/>
          <w:i/>
        </w:rPr>
        <w:t>b. The EE-IRP Staff Whitepaper identified areas where process modifications and further rule development may be necessary for optimization of energy efficiency in the IRP. Do you agree with staff’s proposal? Why or why not?</w:t>
      </w:r>
    </w:p>
    <w:p w:rsidR="00061BE8" w:rsidRPr="0004536A" w:rsidRDefault="00C70184" w:rsidP="0004536A">
      <w:pPr>
        <w:autoSpaceDE w:val="0"/>
        <w:autoSpaceDN w:val="0"/>
        <w:adjustRightInd w:val="0"/>
        <w:spacing w:before="120" w:after="120"/>
        <w:rPr>
          <w:rFonts w:cs="Calibri"/>
        </w:rPr>
      </w:pPr>
      <w:r>
        <w:rPr>
          <w:rFonts w:cs="Calibri"/>
        </w:rPr>
        <w:t xml:space="preserve">NRDC generally agrees with Commission staff’s proposal. </w:t>
      </w:r>
    </w:p>
    <w:p w:rsidR="00061BE8" w:rsidRDefault="00061BE8" w:rsidP="0004536A">
      <w:pPr>
        <w:autoSpaceDE w:val="0"/>
        <w:autoSpaceDN w:val="0"/>
        <w:adjustRightInd w:val="0"/>
        <w:spacing w:before="120" w:after="120"/>
        <w:rPr>
          <w:rFonts w:cs="Calibri"/>
        </w:rPr>
      </w:pPr>
    </w:p>
    <w:p w:rsidR="0004536A" w:rsidRPr="00061BE8" w:rsidRDefault="00061BE8" w:rsidP="00061BE8">
      <w:pPr>
        <w:autoSpaceDE w:val="0"/>
        <w:autoSpaceDN w:val="0"/>
        <w:adjustRightInd w:val="0"/>
        <w:spacing w:before="120" w:after="120"/>
        <w:ind w:left="720"/>
        <w:rPr>
          <w:rFonts w:cs="Calibri"/>
          <w:i/>
        </w:rPr>
      </w:pPr>
      <w:r w:rsidRPr="00061BE8">
        <w:rPr>
          <w:rFonts w:cs="Calibri"/>
          <w:i/>
        </w:rPr>
        <w:t>Q4</w:t>
      </w:r>
      <w:r w:rsidR="0004536A" w:rsidRPr="00061BE8">
        <w:rPr>
          <w:rFonts w:cs="Calibri"/>
          <w:i/>
        </w:rPr>
        <w:t xml:space="preserve">c. What role should IRP optimization of energy efficiency resources play in the development of the Study and energy efficiency goal setting? </w:t>
      </w:r>
    </w:p>
    <w:p w:rsidR="0004536A" w:rsidRDefault="00C70184" w:rsidP="0004536A">
      <w:pPr>
        <w:autoSpaceDE w:val="0"/>
        <w:autoSpaceDN w:val="0"/>
        <w:adjustRightInd w:val="0"/>
        <w:spacing w:before="120" w:after="120"/>
        <w:rPr>
          <w:rFonts w:cs="Calibri"/>
        </w:rPr>
      </w:pPr>
      <w:r>
        <w:rPr>
          <w:rFonts w:cs="Calibri"/>
        </w:rPr>
        <w:t xml:space="preserve">IPR optimization of energy efficiency resources should </w:t>
      </w:r>
      <w:r w:rsidR="00061BE8">
        <w:rPr>
          <w:rFonts w:cs="Calibri"/>
        </w:rPr>
        <w:t>set the goals for resource efficiency programs.</w:t>
      </w:r>
      <w:r>
        <w:rPr>
          <w:rFonts w:cs="Calibri"/>
        </w:rPr>
        <w:t xml:space="preserve"> This concept is further explained in the answer to Q5.</w:t>
      </w:r>
    </w:p>
    <w:p w:rsidR="00061BE8" w:rsidRDefault="00061BE8" w:rsidP="0004536A">
      <w:pPr>
        <w:autoSpaceDE w:val="0"/>
        <w:autoSpaceDN w:val="0"/>
        <w:adjustRightInd w:val="0"/>
        <w:spacing w:before="120" w:after="120"/>
        <w:rPr>
          <w:rFonts w:cs="Calibri"/>
        </w:rPr>
      </w:pPr>
    </w:p>
    <w:p w:rsidR="0004536A" w:rsidRPr="003F6493" w:rsidRDefault="0004536A" w:rsidP="0004536A">
      <w:pPr>
        <w:autoSpaceDE w:val="0"/>
        <w:autoSpaceDN w:val="0"/>
        <w:adjustRightInd w:val="0"/>
        <w:spacing w:before="120" w:after="120"/>
        <w:rPr>
          <w:rFonts w:cs="Calibri"/>
          <w:i/>
        </w:rPr>
      </w:pPr>
      <w:r w:rsidRPr="003F6493">
        <w:rPr>
          <w:rFonts w:cs="Calibri"/>
          <w:i/>
        </w:rPr>
        <w:t>Q5. The Evolving Energy Efficiency Portfolio:</w:t>
      </w:r>
    </w:p>
    <w:p w:rsidR="0004536A" w:rsidRPr="003F6493" w:rsidRDefault="003F6493" w:rsidP="003F6493">
      <w:pPr>
        <w:autoSpaceDE w:val="0"/>
        <w:autoSpaceDN w:val="0"/>
        <w:adjustRightInd w:val="0"/>
        <w:spacing w:before="120" w:after="120"/>
        <w:ind w:left="720"/>
        <w:rPr>
          <w:rFonts w:cs="Calibri"/>
          <w:i/>
        </w:rPr>
      </w:pPr>
      <w:r w:rsidRPr="003F6493">
        <w:rPr>
          <w:rFonts w:cs="Calibri"/>
          <w:i/>
        </w:rPr>
        <w:t>Q5</w:t>
      </w:r>
      <w:r w:rsidR="0004536A" w:rsidRPr="003F6493">
        <w:rPr>
          <w:rFonts w:cs="Calibri"/>
          <w:i/>
        </w:rPr>
        <w:t xml:space="preserve">a. What policy-level changes (if any) should the CPUC begin to consider related to energy efficiency goal setting, to best align energy efficiency programs with the needs of California's clean energy future? </w:t>
      </w:r>
    </w:p>
    <w:p w:rsidR="0004536A" w:rsidRPr="003F6493" w:rsidRDefault="003F6493" w:rsidP="003F6493">
      <w:pPr>
        <w:autoSpaceDE w:val="0"/>
        <w:autoSpaceDN w:val="0"/>
        <w:adjustRightInd w:val="0"/>
        <w:spacing w:before="120" w:after="120"/>
        <w:ind w:firstLine="720"/>
        <w:rPr>
          <w:rFonts w:cs="Calibri"/>
          <w:i/>
        </w:rPr>
      </w:pPr>
      <w:r w:rsidRPr="003F6493">
        <w:rPr>
          <w:rFonts w:cs="Calibri"/>
          <w:i/>
        </w:rPr>
        <w:t>Q5</w:t>
      </w:r>
      <w:r w:rsidR="0004536A" w:rsidRPr="003F6493">
        <w:rPr>
          <w:rFonts w:cs="Calibri"/>
          <w:i/>
        </w:rPr>
        <w:t>b. What processes should the CPUC use to explore these changes?</w:t>
      </w:r>
    </w:p>
    <w:p w:rsidR="0004536A" w:rsidRDefault="00D21857" w:rsidP="0004536A">
      <w:pPr>
        <w:autoSpaceDE w:val="0"/>
        <w:autoSpaceDN w:val="0"/>
        <w:adjustRightInd w:val="0"/>
        <w:spacing w:before="120" w:after="120"/>
        <w:rPr>
          <w:rFonts w:cs="Calibri"/>
        </w:rPr>
      </w:pPr>
      <w:r>
        <w:rPr>
          <w:rFonts w:cs="Calibri"/>
        </w:rPr>
        <w:t xml:space="preserve">Over time, </w:t>
      </w:r>
      <w:r w:rsidR="003F6493">
        <w:rPr>
          <w:rFonts w:cs="Calibri"/>
        </w:rPr>
        <w:t xml:space="preserve">California investor owned utility (IOU) energy efficiency portfolios have acquired multiple objectives that can be broadly categorized as (1) serving as a least-cost short term energy resource, (2) market transformation of </w:t>
      </w:r>
      <w:r w:rsidR="00C70184">
        <w:rPr>
          <w:rFonts w:cs="Calibri"/>
        </w:rPr>
        <w:t xml:space="preserve">energy end-use </w:t>
      </w:r>
      <w:r w:rsidR="003F6493">
        <w:rPr>
          <w:rFonts w:cs="Calibri"/>
        </w:rPr>
        <w:t>technologies to develop longer-term energy efficiency resources, and (3) equity related goals to ensure that all Californians have the opportunity to avail of the benefit from ratepayer funded energy efficiency programs. Achieving California’s clean energy future in a just manner requires that energy efficiency be valued and targeted for each of these goals.</w:t>
      </w:r>
      <w:r w:rsidR="009C6809">
        <w:rPr>
          <w:rFonts w:cs="Calibri"/>
        </w:rPr>
        <w:t xml:space="preserve"> To this end, the Commission needs to work with stakeholders to construct three energy efficiency portfolios: (1) an energy efficiency resource portfolio, (2) a market transformation portfolio, and (3) an equity portfolio.</w:t>
      </w:r>
    </w:p>
    <w:p w:rsidR="003F6493" w:rsidRDefault="003F6493" w:rsidP="0004536A">
      <w:pPr>
        <w:autoSpaceDE w:val="0"/>
        <w:autoSpaceDN w:val="0"/>
        <w:adjustRightInd w:val="0"/>
        <w:spacing w:before="120" w:after="120"/>
        <w:rPr>
          <w:rFonts w:cs="Calibri"/>
        </w:rPr>
      </w:pPr>
      <w:r>
        <w:rPr>
          <w:rFonts w:cs="Calibri"/>
        </w:rPr>
        <w:t xml:space="preserve">Existing Commission policy is best suited to develop energy efficiency goals for the first category: energy efficiency as a least-cost short term energy resource. The Commission needs to start </w:t>
      </w:r>
      <w:r w:rsidR="001A1BD2">
        <w:rPr>
          <w:rFonts w:cs="Calibri"/>
        </w:rPr>
        <w:t xml:space="preserve">take the following actions </w:t>
      </w:r>
      <w:r>
        <w:rPr>
          <w:rFonts w:cs="Calibri"/>
        </w:rPr>
        <w:t>to align energy efficiency programs with the needs of California’s clean energy future:</w:t>
      </w:r>
    </w:p>
    <w:p w:rsidR="009C6809" w:rsidRDefault="009C6809" w:rsidP="003F6493">
      <w:pPr>
        <w:pStyle w:val="ListParagraph"/>
        <w:numPr>
          <w:ilvl w:val="0"/>
          <w:numId w:val="6"/>
        </w:numPr>
        <w:autoSpaceDE w:val="0"/>
        <w:autoSpaceDN w:val="0"/>
        <w:adjustRightInd w:val="0"/>
        <w:spacing w:before="120" w:after="120"/>
        <w:rPr>
          <w:rFonts w:cs="Calibri"/>
        </w:rPr>
      </w:pPr>
      <w:r>
        <w:rPr>
          <w:rFonts w:cs="Calibri"/>
        </w:rPr>
        <w:t>The existing efficiency goal setting process should be integrated with the IRP in order to determine goals for energy efficiency resource programs.</w:t>
      </w:r>
    </w:p>
    <w:p w:rsidR="003F6493" w:rsidRDefault="003F6493" w:rsidP="003F6493">
      <w:pPr>
        <w:pStyle w:val="ListParagraph"/>
        <w:numPr>
          <w:ilvl w:val="0"/>
          <w:numId w:val="6"/>
        </w:numPr>
        <w:autoSpaceDE w:val="0"/>
        <w:autoSpaceDN w:val="0"/>
        <w:adjustRightInd w:val="0"/>
        <w:spacing w:before="120" w:after="120"/>
        <w:rPr>
          <w:rFonts w:cs="Calibri"/>
        </w:rPr>
      </w:pPr>
      <w:r w:rsidRPr="003F6493">
        <w:rPr>
          <w:rFonts w:cs="Calibri"/>
        </w:rPr>
        <w:t>The Commission is in the process of developing a robust process to encourage longer-term market transformation initiatives.</w:t>
      </w:r>
      <w:r w:rsidR="009C6809">
        <w:rPr>
          <w:rFonts w:cs="Calibri"/>
        </w:rPr>
        <w:t xml:space="preserve"> The Commission should work with program administrators (PAs)</w:t>
      </w:r>
      <w:r w:rsidR="001A1BD2">
        <w:rPr>
          <w:rFonts w:cs="Calibri"/>
        </w:rPr>
        <w:t xml:space="preserve"> and stakeholders</w:t>
      </w:r>
      <w:r w:rsidR="009C6809">
        <w:rPr>
          <w:rFonts w:cs="Calibri"/>
        </w:rPr>
        <w:t xml:space="preserve"> to critically examine the existing energy efficiency portfolio to identify those existing programs that have a market transformation component that better fits under the Commission’s market transformation framework.</w:t>
      </w:r>
    </w:p>
    <w:p w:rsidR="009C6809" w:rsidRPr="003F6493" w:rsidRDefault="009C6809" w:rsidP="003F6493">
      <w:pPr>
        <w:pStyle w:val="ListParagraph"/>
        <w:numPr>
          <w:ilvl w:val="0"/>
          <w:numId w:val="6"/>
        </w:numPr>
        <w:autoSpaceDE w:val="0"/>
        <w:autoSpaceDN w:val="0"/>
        <w:adjustRightInd w:val="0"/>
        <w:spacing w:before="120" w:after="120"/>
        <w:rPr>
          <w:rFonts w:cs="Calibri"/>
        </w:rPr>
      </w:pPr>
      <w:r>
        <w:rPr>
          <w:rFonts w:cs="Calibri"/>
        </w:rPr>
        <w:t>Similarly, the Commission should identify those existing programs (or parts of existing programs) whose objec</w:t>
      </w:r>
      <w:bookmarkStart w:id="0" w:name="_GoBack"/>
      <w:bookmarkEnd w:id="0"/>
      <w:r>
        <w:rPr>
          <w:rFonts w:cs="Calibri"/>
        </w:rPr>
        <w:t>tive is to enhance equity among electric sector customers. These programs, along with existing Energy Savings Assistance programs, would form the basis of a future energy efficiency equity focused portfolio. NRDC does not yet know how the Commission should manage and administer this portfolio, what a dedicated process for energy efficiency equity programs would look like. NRDC will provide some additional thought to this issue and communicate any insight to the Commission.</w:t>
      </w:r>
    </w:p>
    <w:p w:rsidR="00B50664" w:rsidRPr="008B5DB6" w:rsidRDefault="00B50664" w:rsidP="00D12CB0">
      <w:pPr>
        <w:autoSpaceDE w:val="0"/>
        <w:autoSpaceDN w:val="0"/>
        <w:adjustRightInd w:val="0"/>
        <w:spacing w:before="80" w:after="80"/>
        <w:rPr>
          <w:rFonts w:cs="Calibri"/>
        </w:rPr>
      </w:pPr>
    </w:p>
    <w:sectPr w:rsidR="00B50664" w:rsidRPr="008B5DB6" w:rsidSect="00CD3362">
      <w:footerReference w:type="default" r:id="rId8"/>
      <w:pgSz w:w="12240" w:h="15840"/>
      <w:pgMar w:top="1224" w:right="1440" w:bottom="1224"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3494" w:rsidRDefault="00BC3494" w:rsidP="00F4351F">
      <w:pPr>
        <w:spacing w:after="0" w:line="240" w:lineRule="auto"/>
      </w:pPr>
      <w:r>
        <w:separator/>
      </w:r>
    </w:p>
  </w:endnote>
  <w:endnote w:type="continuationSeparator" w:id="0">
    <w:p w:rsidR="00BC3494" w:rsidRDefault="00BC3494" w:rsidP="00F435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36A" w:rsidRDefault="0004536A">
    <w:pPr>
      <w:pStyle w:val="Footer"/>
      <w:jc w:val="right"/>
    </w:pPr>
    <w:r>
      <w:fldChar w:fldCharType="begin"/>
    </w:r>
    <w:r>
      <w:instrText xml:space="preserve"> PAGE   \* MERGEFORMAT </w:instrText>
    </w:r>
    <w:r>
      <w:fldChar w:fldCharType="separate"/>
    </w:r>
    <w:r>
      <w:rPr>
        <w:noProof/>
      </w:rPr>
      <w:t>2</w:t>
    </w:r>
    <w:r>
      <w:rPr>
        <w:noProof/>
      </w:rPr>
      <w:fldChar w:fldCharType="end"/>
    </w:r>
  </w:p>
  <w:p w:rsidR="0004536A" w:rsidRDefault="000453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3494" w:rsidRDefault="00BC3494" w:rsidP="00F4351F">
      <w:pPr>
        <w:spacing w:after="0" w:line="240" w:lineRule="auto"/>
      </w:pPr>
      <w:r>
        <w:separator/>
      </w:r>
    </w:p>
  </w:footnote>
  <w:footnote w:type="continuationSeparator" w:id="0">
    <w:p w:rsidR="00BC3494" w:rsidRDefault="00BC3494" w:rsidP="00F4351F">
      <w:pPr>
        <w:spacing w:after="0" w:line="240" w:lineRule="auto"/>
      </w:pPr>
      <w:r>
        <w:continuationSeparator/>
      </w:r>
    </w:p>
  </w:footnote>
  <w:footnote w:id="1">
    <w:p w:rsidR="00DD6128" w:rsidRDefault="00DD6128">
      <w:pPr>
        <w:pStyle w:val="FootnoteText"/>
      </w:pPr>
      <w:r>
        <w:rPr>
          <w:rStyle w:val="FootnoteReference"/>
        </w:rPr>
        <w:footnoteRef/>
      </w:r>
      <w:r>
        <w:t xml:space="preserve"> NRDC’s understanding of a top-down methodology is that this methodology entails comparing energy use in a robust sample of a single building type (e.g., single family homes) to identify the lowest energy intensity buildings in that cohort. The difference in energy consumption intensity between the lowest energy intensity building and the rest of the population would then represent an estimate of total possible energy savings that could be achieved in that building type.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6377"/>
    <w:multiLevelType w:val="hybridMultilevel"/>
    <w:tmpl w:val="35AC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A2282D"/>
    <w:multiLevelType w:val="hybridMultilevel"/>
    <w:tmpl w:val="043E1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084A54"/>
    <w:multiLevelType w:val="hybridMultilevel"/>
    <w:tmpl w:val="5D18E9DC"/>
    <w:lvl w:ilvl="0" w:tplc="DB8C441C">
      <w:start w:val="2"/>
      <w:numFmt w:val="bullet"/>
      <w:lvlText w:val=""/>
      <w:lvlJc w:val="left"/>
      <w:pPr>
        <w:ind w:left="720" w:hanging="360"/>
      </w:pPr>
      <w:rPr>
        <w:rFonts w:ascii="Symbol" w:eastAsia="Calibr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907A25"/>
    <w:multiLevelType w:val="hybridMultilevel"/>
    <w:tmpl w:val="41920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C5437C"/>
    <w:multiLevelType w:val="hybridMultilevel"/>
    <w:tmpl w:val="D64A7336"/>
    <w:lvl w:ilvl="0" w:tplc="2AB8492E">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0C6861"/>
    <w:multiLevelType w:val="hybridMultilevel"/>
    <w:tmpl w:val="C2A6E744"/>
    <w:lvl w:ilvl="0" w:tplc="7A0CA76E">
      <w:start w:val="2"/>
      <w:numFmt w:val="bullet"/>
      <w:lvlText w:val=""/>
      <w:lvlJc w:val="left"/>
      <w:pPr>
        <w:ind w:left="720" w:hanging="360"/>
      </w:pPr>
      <w:rPr>
        <w:rFonts w:ascii="Symbol" w:eastAsia="Calibr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B9507D"/>
    <w:multiLevelType w:val="hybridMultilevel"/>
    <w:tmpl w:val="EB025BFA"/>
    <w:lvl w:ilvl="0" w:tplc="8B7CBC50">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D033CF"/>
    <w:multiLevelType w:val="hybridMultilevel"/>
    <w:tmpl w:val="ACACAD7C"/>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0"/>
  </w:num>
  <w:num w:numId="4">
    <w:abstractNumId w:val="1"/>
  </w:num>
  <w:num w:numId="5">
    <w:abstractNumId w:val="6"/>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CA1"/>
    <w:rsid w:val="000276DD"/>
    <w:rsid w:val="00032CC6"/>
    <w:rsid w:val="00035B13"/>
    <w:rsid w:val="0004536A"/>
    <w:rsid w:val="00061BE8"/>
    <w:rsid w:val="00067830"/>
    <w:rsid w:val="000731E2"/>
    <w:rsid w:val="000804C6"/>
    <w:rsid w:val="00092A2A"/>
    <w:rsid w:val="000A3756"/>
    <w:rsid w:val="000B1C41"/>
    <w:rsid w:val="000C6A02"/>
    <w:rsid w:val="000D0075"/>
    <w:rsid w:val="000D4786"/>
    <w:rsid w:val="000E38DC"/>
    <w:rsid w:val="00104A6C"/>
    <w:rsid w:val="001070A6"/>
    <w:rsid w:val="00132AAD"/>
    <w:rsid w:val="0018196C"/>
    <w:rsid w:val="001A1BD2"/>
    <w:rsid w:val="001A2ABE"/>
    <w:rsid w:val="001A6FD6"/>
    <w:rsid w:val="001B74D6"/>
    <w:rsid w:val="001D4FCF"/>
    <w:rsid w:val="001F1DB4"/>
    <w:rsid w:val="002031CE"/>
    <w:rsid w:val="00212303"/>
    <w:rsid w:val="00235286"/>
    <w:rsid w:val="0024008E"/>
    <w:rsid w:val="00241E7A"/>
    <w:rsid w:val="00256138"/>
    <w:rsid w:val="0027324E"/>
    <w:rsid w:val="002771C2"/>
    <w:rsid w:val="002A7A2B"/>
    <w:rsid w:val="002B7DFE"/>
    <w:rsid w:val="002D0A0E"/>
    <w:rsid w:val="002D3A1B"/>
    <w:rsid w:val="002E53ED"/>
    <w:rsid w:val="002F2CA1"/>
    <w:rsid w:val="002F546B"/>
    <w:rsid w:val="00310685"/>
    <w:rsid w:val="00317AB0"/>
    <w:rsid w:val="003225CD"/>
    <w:rsid w:val="00350ED3"/>
    <w:rsid w:val="00351C9E"/>
    <w:rsid w:val="00351E70"/>
    <w:rsid w:val="003722D3"/>
    <w:rsid w:val="00376E7C"/>
    <w:rsid w:val="003B129A"/>
    <w:rsid w:val="003D2FB4"/>
    <w:rsid w:val="003E0BFF"/>
    <w:rsid w:val="003F019C"/>
    <w:rsid w:val="003F6493"/>
    <w:rsid w:val="004155DF"/>
    <w:rsid w:val="004216D0"/>
    <w:rsid w:val="004334C9"/>
    <w:rsid w:val="00440CCE"/>
    <w:rsid w:val="0045146F"/>
    <w:rsid w:val="0046192E"/>
    <w:rsid w:val="004677E0"/>
    <w:rsid w:val="00473968"/>
    <w:rsid w:val="004935EF"/>
    <w:rsid w:val="004A3998"/>
    <w:rsid w:val="004B2FF9"/>
    <w:rsid w:val="004B6BBB"/>
    <w:rsid w:val="004D5732"/>
    <w:rsid w:val="0050617E"/>
    <w:rsid w:val="00522C29"/>
    <w:rsid w:val="0053216C"/>
    <w:rsid w:val="005558FE"/>
    <w:rsid w:val="00583887"/>
    <w:rsid w:val="005B2604"/>
    <w:rsid w:val="005C43EB"/>
    <w:rsid w:val="005D1E72"/>
    <w:rsid w:val="005D3E20"/>
    <w:rsid w:val="005D5194"/>
    <w:rsid w:val="005D78E7"/>
    <w:rsid w:val="00604B99"/>
    <w:rsid w:val="00613224"/>
    <w:rsid w:val="00643F8C"/>
    <w:rsid w:val="00655744"/>
    <w:rsid w:val="00665B0A"/>
    <w:rsid w:val="00674D88"/>
    <w:rsid w:val="00686B32"/>
    <w:rsid w:val="00687AA8"/>
    <w:rsid w:val="006A7280"/>
    <w:rsid w:val="006A7616"/>
    <w:rsid w:val="006B15BC"/>
    <w:rsid w:val="006B29D7"/>
    <w:rsid w:val="006C69BB"/>
    <w:rsid w:val="007177A3"/>
    <w:rsid w:val="007232F1"/>
    <w:rsid w:val="00726106"/>
    <w:rsid w:val="00733813"/>
    <w:rsid w:val="00744250"/>
    <w:rsid w:val="00745114"/>
    <w:rsid w:val="00751CC6"/>
    <w:rsid w:val="00757022"/>
    <w:rsid w:val="00761E79"/>
    <w:rsid w:val="00782F9B"/>
    <w:rsid w:val="007845E7"/>
    <w:rsid w:val="007952FF"/>
    <w:rsid w:val="00795525"/>
    <w:rsid w:val="00796CAA"/>
    <w:rsid w:val="007A37DD"/>
    <w:rsid w:val="007E3605"/>
    <w:rsid w:val="007F5D47"/>
    <w:rsid w:val="00802CE8"/>
    <w:rsid w:val="0080477A"/>
    <w:rsid w:val="008049F0"/>
    <w:rsid w:val="00873F19"/>
    <w:rsid w:val="008B258D"/>
    <w:rsid w:val="008B5DB6"/>
    <w:rsid w:val="008C0960"/>
    <w:rsid w:val="008C7013"/>
    <w:rsid w:val="008F24AC"/>
    <w:rsid w:val="008F43C6"/>
    <w:rsid w:val="008F470E"/>
    <w:rsid w:val="009211E0"/>
    <w:rsid w:val="00933E18"/>
    <w:rsid w:val="0093730B"/>
    <w:rsid w:val="0094667D"/>
    <w:rsid w:val="00954DDB"/>
    <w:rsid w:val="009564EB"/>
    <w:rsid w:val="00956A3D"/>
    <w:rsid w:val="00965993"/>
    <w:rsid w:val="00973869"/>
    <w:rsid w:val="00974980"/>
    <w:rsid w:val="00983AC5"/>
    <w:rsid w:val="009C6809"/>
    <w:rsid w:val="009C78B5"/>
    <w:rsid w:val="009E0F2A"/>
    <w:rsid w:val="009E52B7"/>
    <w:rsid w:val="009E684E"/>
    <w:rsid w:val="009F007A"/>
    <w:rsid w:val="00A07BF0"/>
    <w:rsid w:val="00A1790B"/>
    <w:rsid w:val="00A44DA6"/>
    <w:rsid w:val="00A44F6E"/>
    <w:rsid w:val="00A65654"/>
    <w:rsid w:val="00A87D5C"/>
    <w:rsid w:val="00AB18CA"/>
    <w:rsid w:val="00AB2EDD"/>
    <w:rsid w:val="00AB6F4A"/>
    <w:rsid w:val="00AD3D1D"/>
    <w:rsid w:val="00AE425D"/>
    <w:rsid w:val="00B02149"/>
    <w:rsid w:val="00B02BA9"/>
    <w:rsid w:val="00B04488"/>
    <w:rsid w:val="00B251C6"/>
    <w:rsid w:val="00B313F2"/>
    <w:rsid w:val="00B34C34"/>
    <w:rsid w:val="00B35C72"/>
    <w:rsid w:val="00B373F1"/>
    <w:rsid w:val="00B46477"/>
    <w:rsid w:val="00B467AF"/>
    <w:rsid w:val="00B50664"/>
    <w:rsid w:val="00B52DDC"/>
    <w:rsid w:val="00B65C0B"/>
    <w:rsid w:val="00B826AA"/>
    <w:rsid w:val="00B87918"/>
    <w:rsid w:val="00B907DF"/>
    <w:rsid w:val="00B96608"/>
    <w:rsid w:val="00BC3494"/>
    <w:rsid w:val="00C01C49"/>
    <w:rsid w:val="00C0664E"/>
    <w:rsid w:val="00C12A85"/>
    <w:rsid w:val="00C14F51"/>
    <w:rsid w:val="00C40608"/>
    <w:rsid w:val="00C53649"/>
    <w:rsid w:val="00C676A4"/>
    <w:rsid w:val="00C70184"/>
    <w:rsid w:val="00C85169"/>
    <w:rsid w:val="00CA34C6"/>
    <w:rsid w:val="00CA5516"/>
    <w:rsid w:val="00CB0AA9"/>
    <w:rsid w:val="00CB17AE"/>
    <w:rsid w:val="00CB2910"/>
    <w:rsid w:val="00CD3362"/>
    <w:rsid w:val="00CF2BC1"/>
    <w:rsid w:val="00D12CB0"/>
    <w:rsid w:val="00D21857"/>
    <w:rsid w:val="00D24EA7"/>
    <w:rsid w:val="00D30232"/>
    <w:rsid w:val="00D32F45"/>
    <w:rsid w:val="00D556E9"/>
    <w:rsid w:val="00D55A84"/>
    <w:rsid w:val="00D65667"/>
    <w:rsid w:val="00D803F5"/>
    <w:rsid w:val="00D84B1C"/>
    <w:rsid w:val="00DB684D"/>
    <w:rsid w:val="00DB6937"/>
    <w:rsid w:val="00DC3D85"/>
    <w:rsid w:val="00DD4553"/>
    <w:rsid w:val="00DD5525"/>
    <w:rsid w:val="00DD6128"/>
    <w:rsid w:val="00DE686C"/>
    <w:rsid w:val="00DE7B5E"/>
    <w:rsid w:val="00DF332E"/>
    <w:rsid w:val="00E03E74"/>
    <w:rsid w:val="00E47EC0"/>
    <w:rsid w:val="00E516BB"/>
    <w:rsid w:val="00E5366E"/>
    <w:rsid w:val="00E554E5"/>
    <w:rsid w:val="00E746BC"/>
    <w:rsid w:val="00E767E3"/>
    <w:rsid w:val="00E869E8"/>
    <w:rsid w:val="00EA10F0"/>
    <w:rsid w:val="00EA2D45"/>
    <w:rsid w:val="00EA7A6C"/>
    <w:rsid w:val="00EC598F"/>
    <w:rsid w:val="00EE29D3"/>
    <w:rsid w:val="00EE4380"/>
    <w:rsid w:val="00EE7690"/>
    <w:rsid w:val="00F045E6"/>
    <w:rsid w:val="00F06CD5"/>
    <w:rsid w:val="00F32E31"/>
    <w:rsid w:val="00F4351F"/>
    <w:rsid w:val="00F446DC"/>
    <w:rsid w:val="00F636C2"/>
    <w:rsid w:val="00F636EE"/>
    <w:rsid w:val="00F64C26"/>
    <w:rsid w:val="00F839C5"/>
    <w:rsid w:val="00F94BCA"/>
    <w:rsid w:val="00FA47A0"/>
    <w:rsid w:val="00FA74F9"/>
    <w:rsid w:val="00FB0627"/>
    <w:rsid w:val="00FB29E7"/>
    <w:rsid w:val="00FD596E"/>
    <w:rsid w:val="00FE4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6E5D97"/>
  <w15:docId w15:val="{74AAB26F-4BD5-40F7-93E3-838E75631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192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1C49"/>
    <w:pPr>
      <w:ind w:left="720"/>
      <w:contextualSpacing/>
    </w:pPr>
  </w:style>
  <w:style w:type="paragraph" w:styleId="FootnoteText">
    <w:name w:val="footnote text"/>
    <w:aliases w:val="Footnote Text Char Char1,Char,Char6 Char,Char6,Char2,Char1,Char11,F14 Footnote Text"/>
    <w:basedOn w:val="Normal"/>
    <w:link w:val="FootnoteTextChar"/>
    <w:uiPriority w:val="99"/>
    <w:semiHidden/>
    <w:rsid w:val="00F4351F"/>
    <w:pPr>
      <w:spacing w:after="0" w:line="240" w:lineRule="auto"/>
    </w:pPr>
    <w:rPr>
      <w:sz w:val="20"/>
      <w:szCs w:val="20"/>
    </w:rPr>
  </w:style>
  <w:style w:type="character" w:customStyle="1" w:styleId="FootnoteTextChar">
    <w:name w:val="Footnote Text Char"/>
    <w:aliases w:val="Footnote Text Char Char1 Char,Char Char,Char6 Char Char,Char6 Char1,Char2 Char,Char1 Char,Char11 Char,F14 Footnote Text Char"/>
    <w:basedOn w:val="DefaultParagraphFont"/>
    <w:link w:val="FootnoteText"/>
    <w:uiPriority w:val="99"/>
    <w:semiHidden/>
    <w:locked/>
    <w:rsid w:val="00F4351F"/>
    <w:rPr>
      <w:rFonts w:cs="Times New Roman"/>
      <w:sz w:val="20"/>
      <w:szCs w:val="20"/>
    </w:rPr>
  </w:style>
  <w:style w:type="character" w:styleId="FootnoteReference">
    <w:name w:val="footnote reference"/>
    <w:basedOn w:val="DefaultParagraphFont"/>
    <w:uiPriority w:val="99"/>
    <w:semiHidden/>
    <w:rsid w:val="00F4351F"/>
    <w:rPr>
      <w:rFonts w:cs="Times New Roman"/>
      <w:vertAlign w:val="superscript"/>
    </w:rPr>
  </w:style>
  <w:style w:type="character" w:styleId="Hyperlink">
    <w:name w:val="Hyperlink"/>
    <w:basedOn w:val="DefaultParagraphFont"/>
    <w:uiPriority w:val="99"/>
    <w:rsid w:val="00F4351F"/>
    <w:rPr>
      <w:rFonts w:cs="Times New Roman"/>
      <w:color w:val="0000FF"/>
      <w:u w:val="single"/>
    </w:rPr>
  </w:style>
  <w:style w:type="paragraph" w:styleId="BalloonText">
    <w:name w:val="Balloon Text"/>
    <w:basedOn w:val="Normal"/>
    <w:link w:val="BalloonTextChar"/>
    <w:uiPriority w:val="99"/>
    <w:semiHidden/>
    <w:rsid w:val="00A44D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44DA6"/>
    <w:rPr>
      <w:rFonts w:ascii="Tahoma" w:hAnsi="Tahoma" w:cs="Tahoma"/>
      <w:sz w:val="16"/>
      <w:szCs w:val="16"/>
    </w:rPr>
  </w:style>
  <w:style w:type="paragraph" w:styleId="Header">
    <w:name w:val="header"/>
    <w:basedOn w:val="Normal"/>
    <w:link w:val="HeaderChar"/>
    <w:uiPriority w:val="99"/>
    <w:semiHidden/>
    <w:rsid w:val="004935E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4935EF"/>
    <w:rPr>
      <w:rFonts w:cs="Times New Roman"/>
    </w:rPr>
  </w:style>
  <w:style w:type="paragraph" w:styleId="Footer">
    <w:name w:val="footer"/>
    <w:basedOn w:val="Normal"/>
    <w:link w:val="FooterChar"/>
    <w:uiPriority w:val="99"/>
    <w:rsid w:val="004935E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4935EF"/>
    <w:rPr>
      <w:rFonts w:cs="Times New Roman"/>
    </w:rPr>
  </w:style>
  <w:style w:type="character" w:styleId="CommentReference">
    <w:name w:val="annotation reference"/>
    <w:basedOn w:val="DefaultParagraphFont"/>
    <w:uiPriority w:val="99"/>
    <w:semiHidden/>
    <w:rsid w:val="004935EF"/>
    <w:rPr>
      <w:rFonts w:cs="Times New Roman"/>
      <w:sz w:val="16"/>
      <w:szCs w:val="16"/>
    </w:rPr>
  </w:style>
  <w:style w:type="paragraph" w:styleId="CommentText">
    <w:name w:val="annotation text"/>
    <w:basedOn w:val="Normal"/>
    <w:link w:val="CommentTextChar"/>
    <w:uiPriority w:val="99"/>
    <w:semiHidden/>
    <w:rsid w:val="004935EF"/>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35EF"/>
    <w:rPr>
      <w:rFonts w:cs="Times New Roman"/>
      <w:sz w:val="20"/>
      <w:szCs w:val="20"/>
    </w:rPr>
  </w:style>
  <w:style w:type="paragraph" w:styleId="CommentSubject">
    <w:name w:val="annotation subject"/>
    <w:basedOn w:val="CommentText"/>
    <w:next w:val="CommentText"/>
    <w:link w:val="CommentSubjectChar"/>
    <w:uiPriority w:val="99"/>
    <w:semiHidden/>
    <w:rsid w:val="004935EF"/>
    <w:rPr>
      <w:b/>
      <w:bCs/>
    </w:rPr>
  </w:style>
  <w:style w:type="character" w:customStyle="1" w:styleId="CommentSubjectChar">
    <w:name w:val="Comment Subject Char"/>
    <w:basedOn w:val="CommentTextChar"/>
    <w:link w:val="CommentSubject"/>
    <w:uiPriority w:val="99"/>
    <w:semiHidden/>
    <w:locked/>
    <w:rsid w:val="004935EF"/>
    <w:rPr>
      <w:rFonts w:cs="Times New Roman"/>
      <w:b/>
      <w:bCs/>
      <w:sz w:val="20"/>
      <w:szCs w:val="20"/>
    </w:rPr>
  </w:style>
  <w:style w:type="paragraph" w:styleId="NormalWeb">
    <w:name w:val="Normal (Web)"/>
    <w:basedOn w:val="Normal"/>
    <w:uiPriority w:val="99"/>
    <w:rsid w:val="002F546B"/>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2F546B"/>
    <w:rPr>
      <w:rFonts w:cs="Times New Roman"/>
    </w:rPr>
  </w:style>
  <w:style w:type="character" w:customStyle="1" w:styleId="normaltextrun">
    <w:name w:val="normaltextrun"/>
    <w:basedOn w:val="DefaultParagraphFont"/>
    <w:rsid w:val="0018196C"/>
  </w:style>
  <w:style w:type="character" w:customStyle="1" w:styleId="scxw222414493">
    <w:name w:val="scxw222414493"/>
    <w:basedOn w:val="DefaultParagraphFont"/>
    <w:rsid w:val="00212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581884">
      <w:bodyDiv w:val="1"/>
      <w:marLeft w:val="0"/>
      <w:marRight w:val="0"/>
      <w:marTop w:val="0"/>
      <w:marBottom w:val="0"/>
      <w:divBdr>
        <w:top w:val="none" w:sz="0" w:space="0" w:color="auto"/>
        <w:left w:val="none" w:sz="0" w:space="0" w:color="auto"/>
        <w:bottom w:val="none" w:sz="0" w:space="0" w:color="auto"/>
        <w:right w:val="none" w:sz="0" w:space="0" w:color="auto"/>
      </w:divBdr>
    </w:div>
    <w:div w:id="265583878">
      <w:bodyDiv w:val="1"/>
      <w:marLeft w:val="0"/>
      <w:marRight w:val="0"/>
      <w:marTop w:val="0"/>
      <w:marBottom w:val="0"/>
      <w:divBdr>
        <w:top w:val="none" w:sz="0" w:space="0" w:color="auto"/>
        <w:left w:val="none" w:sz="0" w:space="0" w:color="auto"/>
        <w:bottom w:val="none" w:sz="0" w:space="0" w:color="auto"/>
        <w:right w:val="none" w:sz="0" w:space="0" w:color="auto"/>
      </w:divBdr>
    </w:div>
    <w:div w:id="525141363">
      <w:marLeft w:val="0"/>
      <w:marRight w:val="0"/>
      <w:marTop w:val="0"/>
      <w:marBottom w:val="0"/>
      <w:divBdr>
        <w:top w:val="none" w:sz="0" w:space="0" w:color="auto"/>
        <w:left w:val="none" w:sz="0" w:space="0" w:color="auto"/>
        <w:bottom w:val="none" w:sz="0" w:space="0" w:color="auto"/>
        <w:right w:val="none" w:sz="0" w:space="0" w:color="auto"/>
      </w:divBdr>
    </w:div>
    <w:div w:id="105338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3DE6C-E082-406C-A1F4-4BA3A13D3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5410</TotalTime>
  <Pages>3</Pages>
  <Words>1259</Words>
  <Characters>7179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Comments of the Natural Resources Defense Council (NRDC) on Energy Efficiency Goals, Potential, and Targets Scoping Plan</vt:lpstr>
    </vt:vector>
  </TitlesOfParts>
  <Company>Microsoft</Company>
  <LinksUpToDate>false</LinksUpToDate>
  <CharactersWithSpaces>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 of the Natural Resources Defense Council (NRDC) on Energy Efficiency Goals, Potential, and Targets Scoping Plan</dc:title>
  <dc:creator>Amanda Gonzalez</dc:creator>
  <cp:lastModifiedBy>Chhabra, Mohit</cp:lastModifiedBy>
  <cp:revision>7</cp:revision>
  <cp:lastPrinted>2011-08-11T23:55:00Z</cp:lastPrinted>
  <dcterms:created xsi:type="dcterms:W3CDTF">2019-12-04T01:16:00Z</dcterms:created>
  <dcterms:modified xsi:type="dcterms:W3CDTF">2019-12-10T23:40:00Z</dcterms:modified>
</cp:coreProperties>
</file>